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wmf" ContentType="image/x-wmf"/>
  <Default Extension="emf" ContentType="image/x-emf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body>
    <w:p>
      <w:pPr>
        <w:pStyle w:val=""/>
        <w:jc w:val="center"/>
        <w:rPr>
          <w:b/>
          <w:rFonts w:ascii="標楷體"/>
          <w:sz w:val="28"/>
          <w:szCs w:val="24"/>
        </w:rPr>
      </w:pPr>
      <w:r>
        <w:rPr>
          <w:b/>
          <w:rFonts w:ascii="標楷體"/>
          <w:sz w:val="28"/>
          <w:szCs w:val="24"/>
        </w:rPr>
        <w:t>國立台灣海洋大學 生命科學系</w:t>
      </w:r>
    </w:p>
    <w:p>
      <w:pPr>
        <w:pStyle w:val=""/>
        <w:jc w:val="center"/>
        <w:rPr>
          <w:b/>
          <w:rFonts w:ascii="標楷體"/>
          <w:sz w:val="28"/>
          <w:szCs w:val="24"/>
        </w:rPr>
      </w:pPr>
      <w:r>
        <w:rPr>
          <w:b/>
          <w:rFonts w:ascii="標楷體"/>
          <w:sz w:val="28"/>
          <w:szCs w:val="24"/>
        </w:rPr>
        <w:t>「暑期生科營：</w:t>
      </w:r>
      <w:r>
        <w:rPr>
          <w:b/>
          <w:rFonts w:ascii="標楷體"/>
          <w:sz w:val="28"/>
          <w:szCs w:val="24"/>
        </w:rPr>
        <w:t>暑期海洋生物科學營</w:t>
      </w:r>
      <w:r>
        <w:rPr>
          <w:b/>
          <w:rFonts w:ascii="標楷體"/>
          <w:sz w:val="28"/>
          <w:szCs w:val="24"/>
        </w:rPr>
        <w:t>」時程表</w:t>
      </w:r>
    </w:p>
    <w:p>
      <w:pPr>
        <w:pStyle w:val=""/>
        <w:numPr>
          <w:ilvl w:val="0"/>
          <w:numId w:val="533277047"/>
        </w:numPr>
        <w:rPr>
          <w:rFonts w:ascii="標楷體"/>
        </w:rPr>
      </w:pPr>
      <w:r>
        <w:rPr>
          <w:rFonts w:ascii="標楷體"/>
        </w:rPr>
        <w:t>活動日期</w:t>
      </w:r>
      <w:r>
        <w:rPr>
          <w:rFonts w:ascii="標楷體"/>
        </w:rPr>
        <w:t xml:space="preserve"> </w:t>
      </w:r>
      <w:r>
        <w:rPr>
          <w:rFonts w:ascii="標楷體"/>
        </w:rPr>
        <w:t>&amp;</w:t>
      </w:r>
      <w:r>
        <w:rPr>
          <w:rFonts w:ascii="標楷體"/>
        </w:rPr>
        <w:t xml:space="preserve"> </w:t>
      </w:r>
      <w:r>
        <w:rPr>
          <w:rFonts w:ascii="標楷體"/>
        </w:rPr>
        <w:t>時間：</w:t>
      </w:r>
      <w:r>
        <w:rPr>
          <w:rFonts w:ascii="標楷體"/>
        </w:rPr>
        <w:t>2014</w:t>
      </w:r>
      <w:r>
        <w:rPr>
          <w:rFonts w:ascii="標楷體"/>
        </w:rPr>
        <w:t>年7月</w:t>
      </w:r>
      <w:r>
        <w:rPr>
          <w:rFonts w:ascii="標楷體"/>
        </w:rPr>
        <w:t>11</w:t>
      </w:r>
      <w:r>
        <w:rPr>
          <w:rFonts w:ascii="標楷體"/>
        </w:rPr>
        <w:t>日 星期五   上午9：00 ~下午5：00</w:t>
      </w:r>
    </w:p>
    <w:p>
      <w:pPr>
        <w:pStyle w:val=""/>
        <w:numPr>
          <w:ilvl w:val="0"/>
          <w:numId w:val="533277047"/>
        </w:numPr>
        <w:rPr>
          <w:rFonts w:ascii="標楷體"/>
        </w:rPr>
      </w:pPr>
      <w:r>
        <w:rPr>
          <w:rFonts w:ascii="標楷體"/>
        </w:rPr>
        <w:t>活動地點：國立台灣海洋大學 生命科學院</w:t>
      </w:r>
      <w:r>
        <w:rPr>
          <w:rFonts w:ascii="標楷體"/>
        </w:rPr>
        <w:t>館</w:t>
      </w:r>
    </w:p>
    <w:p>
      <w:pPr>
        <w:pStyle w:val=""/>
        <w:numPr>
          <w:ilvl w:val="0"/>
          <w:numId w:val="533277047"/>
        </w:numPr>
        <w:jc w:val="both"/>
        <w:rPr>
          <w:rFonts w:ascii="標楷體"/>
        </w:rPr>
      </w:pPr>
      <w:r>
        <w:rPr>
          <w:rFonts w:ascii="標楷體"/>
        </w:rPr>
        <w:t>報名方法：請把報名表</w:t>
      </w:r>
      <w:r>
        <w:rPr>
          <w:rFonts w:ascii="標楷體"/>
        </w:rPr>
        <w:t>(生科系首頁營隊報名表</w:t>
      </w:r>
      <w:r>
        <w:rPr>
          <w:rFonts w:ascii="標楷體"/>
        </w:rPr>
        <w:t>http://www.ls.ntou.edu.tw/</w:t>
      </w:r>
      <w:r>
        <w:rPr>
          <w:rFonts w:ascii="標楷體"/>
        </w:rPr>
        <w:t>)</w:t>
      </w:r>
      <w:r>
        <w:rPr>
          <w:rFonts w:ascii="標楷體"/>
        </w:rPr>
        <w:t xml:space="preserve"> </w:t>
      </w:r>
      <w:hyperlink>
        <w:r>
          <w:rPr>
            <w:rStyle w:val=""/>
            <w:rFonts w:ascii="標楷體"/>
          </w:rPr>
          <w:t>e-mail至吳助教信箱amy75922@mail.ntou.edu.tw</w:t>
        </w:r>
      </w:hyperlink>
    </w:p>
    <w:p>
      <w:pPr>
        <w:pStyle w:val=""/>
        <w:numPr>
          <w:ilvl w:val="0"/>
          <w:numId w:val="533277047"/>
        </w:numPr>
        <w:rPr>
          <w:rFonts w:ascii="標楷體"/>
        </w:rPr>
      </w:pPr>
      <w:r>
        <w:rPr>
          <w:rFonts w:ascii="標楷體"/>
        </w:rPr>
        <w:t>不收費當天提供午餐</w:t>
      </w:r>
    </w:p>
    <w:tbl>
      <w:tblPr>
        <w:tblBorders>
          <w:top w:val="single" w:sz="4" w:color="000000" w:space="0"/>
          <w:bottom w:val="single" w:sz="4" w:color="000000" w:space="0"/>
          <w:left w:val="single" w:sz="4" w:color="000000" w:space="0"/>
          <w:right w:val="single" w:sz="4" w:color="000000" w:space="0"/>
          <w:insideH w:val="single" w:sz="4" w:color="000000" w:space="0"/>
          <w:insideV w:val="single" w:sz="4" w:color="000000" w:space="0"/>
        </w:tblBorders>
        <w:jc w:val="center"/>
        <w:tblStyle w:val="表格內文"/>
        <w:tblLook w:firstRow="1" w:lastRow="0" w:firstColumn="1" w:lastColumn="0" w:noHBand="1" w:noVBand="0"/>
        <w:tblW w:w="0" w:type="auto"/>
      </w:tblPr>
      <w:tblGrid>
        <w:gridCol w:w="1951"/>
        <w:gridCol w:w="1985"/>
        <w:gridCol w:w="2835"/>
        <w:gridCol w:w="1564"/>
      </w:tblGrid>
      <w:tr>
        <w:tc>
          <w:tcPr>
            <w:vAlign w:val="center"/>
            <w:tcW w:w="1951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時間</w:t>
            </w:r>
          </w:p>
        </w:tc>
        <w:tc>
          <w:tcPr>
            <w:vAlign w:val="center"/>
            <w:tcW w:w="1985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行程名稱</w:t>
            </w:r>
          </w:p>
        </w:tc>
        <w:tc>
          <w:tcPr>
            <w:vAlign w:val="center"/>
            <w:tcW w:w="2835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行程內容</w:t>
            </w:r>
          </w:p>
        </w:tc>
        <w:tc>
          <w:tcPr>
            <w:vAlign w:val="center"/>
            <w:tcW w:w="1564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地點 / 人員</w:t>
            </w:r>
          </w:p>
        </w:tc>
      </w:tr>
      <w:tr>
        <w:tc>
          <w:tcPr>
            <w:vAlign w:val="center"/>
            <w:tcW w:w="1951" w:type="dxa"/>
          </w:tcPr>
          <w:p>
            <w:pPr>
              <w:pStyle w:val=""/>
              <w:jc w:val="both"/>
            </w:pPr>
            <w:r>
              <w:rPr>
                <w:noProof/>
              </w:rPr>
              <w:drawing>
                <wp:anchor distT="0" distB="0" distL="0" distR="0" simplePos="0" relativeHeight="251658240" behindDoc="1" locked="0" layoutInCell="1" allowOverlap="1" wp14:anchorId="7DEABBC1" wp14:editId="3131C523">
                  <wp:simplePos x="0" y="0"/>
                  <wp:positionH relativeFrom="margin">
                    <wp:posOffset>1062355</wp:posOffset>
                  </wp:positionH>
                  <wp:positionV relativeFrom="margin">
                    <wp:posOffset>782955</wp:posOffset>
                  </wp:positionV>
                  <wp:extent cx="3364865" cy="334073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865" cy="3340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/>
                <w:szCs w:val="24"/>
              </w:rPr>
              <w:t>9：00 ~ 9：30</w:t>
            </w:r>
          </w:p>
        </w:tc>
        <w:tc>
          <w:tcPr>
            <w:vAlign w:val="center"/>
            <w:tcW w:w="1985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報到</w:t>
            </w:r>
          </w:p>
        </w:tc>
        <w:tc>
          <w:tcPr>
            <w:vAlign w:val="center"/>
            <w:tcW w:w="2835" w:type="dxa"/>
          </w:tcPr>
          <w:p>
            <w:pPr>
              <w:pStyle w:val=""/>
              <w:jc w:val="both"/>
              <w:rPr>
                <w:rFonts w:ascii="標楷體"/>
                <w:szCs w:val="24"/>
              </w:rPr>
            </w:pPr>
            <w:r>
              <w:rPr>
                <w:rFonts w:ascii="標楷體"/>
                <w:szCs w:val="24"/>
              </w:rPr>
              <w:t>分組、分發講義及名牌，認識小組員</w:t>
            </w:r>
          </w:p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介紹實驗室規則</w:t>
            </w:r>
          </w:p>
        </w:tc>
        <w:tc>
          <w:tcPr>
            <w:vAlign w:val="center"/>
            <w:tcW w:w="1564" w:type="dxa"/>
          </w:tcPr>
          <w:p>
            <w:pPr>
              <w:pStyle w:val=""/>
              <w:jc w:val="both"/>
              <w:rPr>
                <w:rFonts w:ascii="標楷體"/>
                <w:szCs w:val="24"/>
              </w:rPr>
            </w:pPr>
            <w:r>
              <w:rPr>
                <w:rFonts w:ascii="標楷體"/>
                <w:szCs w:val="24"/>
              </w:rPr>
              <w:t>3F 系辦</w:t>
            </w:r>
            <w:r>
              <w:rPr>
                <w:rFonts w:ascii="標楷體"/>
                <w:szCs w:val="24"/>
              </w:rPr>
              <w:t> </w:t>
            </w:r>
            <w:r>
              <w:rPr>
                <w:rFonts w:ascii="標楷體"/>
                <w:szCs w:val="24"/>
              </w:rPr>
              <w:t>(313室)</w:t>
            </w:r>
          </w:p>
          <w:p>
            <w:pPr>
              <w:pStyle w:val=""/>
              <w:jc w:val="both"/>
              <w:rPr>
                <w:rFonts w:ascii="標楷體"/>
                <w:szCs w:val="24"/>
              </w:rPr>
            </w:pPr>
            <w:r>
              <w:rPr>
                <w:rFonts w:ascii="標楷體"/>
                <w:szCs w:val="24"/>
              </w:rPr>
              <w:t>吳純宜</w:t>
            </w:r>
            <w:r>
              <w:rPr>
                <w:rFonts w:ascii="標楷體"/>
                <w:szCs w:val="24"/>
              </w:rPr>
              <w:t xml:space="preserve"> </w:t>
            </w:r>
            <w:r>
              <w:rPr>
                <w:rFonts w:ascii="標楷體"/>
                <w:szCs w:val="24"/>
              </w:rPr>
              <w:t>助教</w:t>
            </w:r>
          </w:p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各小</w:t>
            </w:r>
            <w:r>
              <w:rPr>
                <w:rFonts w:ascii="標楷體"/>
                <w:szCs w:val="24"/>
              </w:rPr>
              <w:t>隊輔</w:t>
            </w:r>
          </w:p>
        </w:tc>
      </w:tr>
      <w:tr>
        <w:tc>
          <w:tcPr>
            <w:vAlign w:val="center"/>
            <w:tcW w:w="1951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9：30 ~ 10：00</w:t>
            </w:r>
          </w:p>
        </w:tc>
        <w:tc>
          <w:tcPr>
            <w:vAlign w:val="center"/>
            <w:tcW w:w="1985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生科系-系主任及系學會介紹</w:t>
            </w:r>
          </w:p>
        </w:tc>
        <w:tc>
          <w:tcPr>
            <w:vAlign w:val="center"/>
            <w:tcW w:w="2835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生科系 系主任及系學會幹部介紹海洋大學生科系系所特色</w:t>
            </w:r>
          </w:p>
        </w:tc>
        <w:tc>
          <w:tcPr>
            <w:vAlign w:val="center"/>
            <w:tcW w:w="1564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生命科學院館301教室</w:t>
            </w:r>
          </w:p>
        </w:tc>
      </w:tr>
      <w:tr>
        <w:trPr>
          <w:trHeight w:val="1154" w:hRule="atLeast"/>
        </w:trPr>
        <w:tc>
          <w:tcPr>
            <w:vAlign w:val="center"/>
            <w:tcW w:w="1951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10：00 ~ 12：00</w:t>
            </w:r>
          </w:p>
        </w:tc>
        <w:tc>
          <w:tcPr>
            <w:vAlign w:val="center"/>
            <w:tcW w:w="1985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實驗儀器介紹及應用於重金屬之檢測</w:t>
            </w:r>
          </w:p>
        </w:tc>
        <w:tc>
          <w:tcPr>
            <w:vAlign w:val="center"/>
            <w:tcW w:w="2835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重金屬檢測之重要性，實驗儀器器材介紹</w:t>
            </w:r>
          </w:p>
        </w:tc>
        <w:tc>
          <w:tcPr>
            <w:vAlign w:val="center"/>
            <w:tcW w:w="1564" w:type="dxa"/>
          </w:tcPr>
          <w:p>
            <w:pPr>
              <w:pStyle w:val=""/>
              <w:jc w:val="both"/>
              <w:rPr>
                <w:rFonts w:ascii="標楷體"/>
                <w:szCs w:val="24"/>
              </w:rPr>
            </w:pPr>
            <w:r>
              <w:rPr>
                <w:rFonts w:ascii="標楷體"/>
                <w:szCs w:val="24"/>
              </w:rPr>
              <w:t>生命科學院館301教室</w:t>
            </w:r>
          </w:p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黃志清老師</w:t>
            </w:r>
          </w:p>
        </w:tc>
      </w:tr>
      <w:tr>
        <w:tc>
          <w:tcPr>
            <w:vAlign w:val="center"/>
            <w:tcW w:w="1951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12：00 ~ 13：00</w:t>
            </w:r>
          </w:p>
        </w:tc>
        <w:tc>
          <w:tcPr>
            <w:gridSpan w:val="2"/>
            <w:vAlign w:val="center"/>
            <w:tcW w:w="4820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午休用餐</w:t>
            </w:r>
          </w:p>
        </w:tc>
        <w:tc>
          <w:tcPr>
            <w:vAlign w:val="center"/>
            <w:tcW w:w="1564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生命科學院館</w:t>
            </w:r>
            <w:r>
              <w:rPr>
                <w:rFonts w:ascii="標楷體"/>
                <w:szCs w:val="24"/>
              </w:rPr>
              <w:t>211</w:t>
            </w:r>
            <w:r>
              <w:rPr>
                <w:rFonts w:ascii="標楷體"/>
                <w:szCs w:val="24"/>
              </w:rPr>
              <w:t>教室</w:t>
            </w:r>
          </w:p>
        </w:tc>
      </w:tr>
      <w:tr>
        <w:trPr>
          <w:trHeight w:val="826" w:hRule="atLeast"/>
        </w:trPr>
        <w:tc>
          <w:tcPr>
            <w:vAlign w:val="center"/>
            <w:tcW w:w="1951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13：00 ~ 15：00</w:t>
            </w:r>
          </w:p>
        </w:tc>
        <w:tc>
          <w:tcPr>
            <w:vAlign w:val="center"/>
            <w:vMerge w:val="restart"/>
            <w:tcW w:w="1985" w:type="dxa"/>
          </w:tcPr>
          <w:p>
            <w:pPr>
              <w:pStyle w:val=""/>
              <w:jc w:val="both"/>
              <w:rPr>
                <w:rFonts w:ascii="標楷體"/>
                <w:szCs w:val="24"/>
              </w:rPr>
            </w:pPr>
            <w:r>
              <w:rPr>
                <w:rFonts w:ascii="標楷體"/>
                <w:szCs w:val="24"/>
              </w:rPr>
              <w:t>實驗操作</w:t>
            </w:r>
          </w:p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以基質輔助雷射脫附游離質譜儀於應用在重金屬檢測</w:t>
            </w:r>
          </w:p>
        </w:tc>
        <w:tc>
          <w:tcPr>
            <w:vAlign w:val="center"/>
            <w:tcW w:w="2835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海水樣品之處理與重金屬之配置</w:t>
            </w:r>
          </w:p>
        </w:tc>
        <w:tc>
          <w:tcPr>
            <w:vAlign w:val="center"/>
            <w:vMerge w:val="restart"/>
            <w:tcW w:w="1564" w:type="dxa"/>
          </w:tcPr>
          <w:p>
            <w:pPr>
              <w:pStyle w:val=""/>
              <w:jc w:val="both"/>
              <w:rPr>
                <w:rFonts w:ascii="標楷體"/>
                <w:szCs w:val="24"/>
              </w:rPr>
            </w:pPr>
            <w:r>
              <w:rPr>
                <w:rFonts w:ascii="標楷體"/>
                <w:szCs w:val="24"/>
              </w:rPr>
              <w:t>生命科學院館301教室</w:t>
            </w:r>
          </w:p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黃志清老</w:t>
            </w:r>
            <w:r>
              <w:rPr>
                <w:rFonts w:ascii="標楷體"/>
                <w:szCs w:val="24"/>
              </w:rPr>
              <w:t>師</w:t>
            </w:r>
          </w:p>
        </w:tc>
      </w:tr>
      <w:tr>
        <w:tc>
          <w:tcPr>
            <w:vAlign w:val="center"/>
            <w:tcW w:w="1951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15：00 ~ 17：00</w:t>
            </w:r>
          </w:p>
        </w:tc>
        <w:tc>
          <w:tcPr>
            <w:vMerge/>
          </w:tcPr>
          <w:p/>
        </w:tc>
        <w:tc>
          <w:tcPr>
            <w:vAlign w:val="center"/>
            <w:tcW w:w="2835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使用儀器之方法</w:t>
            </w:r>
            <w:r>
              <w:rPr>
                <w:rFonts w:ascii="標楷體"/>
                <w:szCs w:val="24"/>
              </w:rPr>
              <w:t>測試與操作</w:t>
            </w:r>
          </w:p>
        </w:tc>
        <w:tc>
          <w:tcPr>
            <w:vMerge/>
          </w:tcPr>
          <w:p/>
        </w:tc>
      </w:tr>
      <w:tr>
        <w:trPr>
          <w:trHeight w:val="744" w:hRule="atLeast"/>
        </w:trPr>
        <w:tc>
          <w:tcPr>
            <w:vAlign w:val="center"/>
            <w:tcW w:w="1951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17:00~17:20</w:t>
            </w:r>
          </w:p>
        </w:tc>
        <w:tc>
          <w:tcPr>
            <w:gridSpan w:val="3"/>
            <w:vAlign w:val="center"/>
            <w:tcW w:w="6384" w:type="dxa"/>
          </w:tcPr>
          <w:p>
            <w:pPr>
              <w:pStyle w:val=""/>
              <w:jc w:val="both"/>
            </w:pPr>
            <w:r>
              <w:rPr>
                <w:rFonts w:ascii="標楷體"/>
                <w:szCs w:val="24"/>
              </w:rPr>
              <w:t>活動結束大合照，頒發結業證書。</w:t>
            </w:r>
          </w:p>
        </w:tc>
      </w:tr>
    </w:tbl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3066415</wp:posOffset>
            </wp:positionH>
            <wp:positionV relativeFrom="paragraph">
              <wp:posOffset>312420</wp:posOffset>
            </wp:positionV>
            <wp:extent cx="2222500" cy="16141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61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6" w:h="16838"/>
      <w:pgMar w:left="1800" w:right="1800" w:top="1440" w:bottom="1440"/>
    </w:sectPr>
  </w:body>
</w:document>
</file>

<file path=word/fontTable.xml><?xml version="1.0" encoding="utf-8"?>
<w:fo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font w:name="Times New Roman"/>
  <w:font w:name="Symbol"/>
  <w:font w:name="Arial"/>
  <w:font w:name="標楷體"/>
  <w:font w:name="Calibri"/>
  <w:font w:name="新細明體"/>
  <w:font w:name="Cambria"/>
  <w:font w:name="Wingdings"/>
  <w:font w:name="Cambria Math"/>
  <w:font w:name="Courier New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533277047">
    <w:multiLevelType w:val="hybridMultilevel"/>
    <w:lvl w:ilvl="0">
      <w:numFmt w:val="bullet"/>
      <w:lvlText w:val=""/>
      <w:start w:val="0"/>
      <w:lvlJc w:val="left"/>
      <w:pPr>
        <w:ind w:left="480"/>
        <w:ind w:hanging="480"/>
      </w:pPr>
      <w:rPr>
        <w:rFonts w:ascii="Wingdings"/>
      </w:rPr>
    </w:lvl>
    <w:lvl w:ilvl="1">
      <w:numFmt w:val="bullet"/>
      <w:lvlText w:val=""/>
      <w:start w:val="0"/>
      <w:lvlJc w:val="left"/>
      <w:pPr>
        <w:ind w:left="960"/>
        <w:ind w:hanging="480"/>
      </w:pPr>
      <w:rPr>
        <w:rFonts w:ascii="Wingdings"/>
      </w:rPr>
    </w:lvl>
    <w:lvl w:ilvl="2">
      <w:numFmt w:val="bullet"/>
      <w:lvlText w:val=""/>
      <w:start w:val="0"/>
      <w:lvlJc w:val="left"/>
      <w:pPr>
        <w:ind w:left="1440"/>
        <w:ind w:hanging="480"/>
      </w:pPr>
      <w:rPr>
        <w:rFonts w:ascii="Wingdings"/>
      </w:rPr>
    </w:lvl>
    <w:lvl w:ilvl="3">
      <w:numFmt w:val="bullet"/>
      <w:lvlText w:val=""/>
      <w:start w:val="0"/>
      <w:lvlJc w:val="left"/>
      <w:pPr>
        <w:ind w:left="1920"/>
        <w:ind w:hanging="480"/>
      </w:pPr>
      <w:rPr>
        <w:rFonts w:ascii="Wingdings"/>
      </w:rPr>
    </w:lvl>
    <w:lvl w:ilvl="4">
      <w:numFmt w:val="bullet"/>
      <w:lvlText w:val=""/>
      <w:start w:val="0"/>
      <w:lvlJc w:val="left"/>
      <w:pPr>
        <w:ind w:left="2400"/>
        <w:ind w:hanging="480"/>
      </w:pPr>
      <w:rPr>
        <w:rFonts w:ascii="Wingdings"/>
      </w:rPr>
    </w:lvl>
    <w:lvl w:ilvl="5">
      <w:numFmt w:val="bullet"/>
      <w:lvlText w:val=""/>
      <w:start w:val="0"/>
      <w:lvlJc w:val="left"/>
      <w:pPr>
        <w:ind w:left="2880"/>
        <w:ind w:hanging="480"/>
      </w:pPr>
      <w:rPr>
        <w:rFonts w:ascii="Wingdings"/>
      </w:rPr>
    </w:lvl>
    <w:lvl w:ilvl="6">
      <w:numFmt w:val="bullet"/>
      <w:lvlText w:val=""/>
      <w:start w:val="0"/>
      <w:lvlJc w:val="left"/>
      <w:pPr>
        <w:ind w:left="3360"/>
        <w:ind w:hanging="480"/>
      </w:pPr>
      <w:rPr>
        <w:rFonts w:ascii="Wingdings"/>
      </w:rPr>
    </w:lvl>
    <w:lvl w:ilvl="7">
      <w:numFmt w:val="bullet"/>
      <w:lvlText w:val=""/>
      <w:start w:val="0"/>
      <w:lvlJc w:val="left"/>
      <w:pPr>
        <w:ind w:left="3840"/>
        <w:ind w:hanging="480"/>
      </w:pPr>
      <w:rPr>
        <w:rFonts w:ascii="Wingdings"/>
      </w:rPr>
    </w:lvl>
    <w:lvl w:ilvl="8">
      <w:numFmt w:val="bullet"/>
      <w:lvlText w:val=""/>
      <w:start w:val="0"/>
      <w:lvlJc w:val="left"/>
      <w:pPr>
        <w:ind w:left="4320"/>
        <w:ind w:hanging="480"/>
      </w:pPr>
      <w:rPr>
        <w:rFonts w:ascii="Wingdings"/>
      </w:rPr>
    </w:lvl>
  </w:abstractNum>
  <w:abstractNum w:abstractNumId="1987313942">
    <w:multiLevelType w:val="hybridMultilevel"/>
    <w:lvl w:ilvl="0">
      <w:numFmt w:val="bullet"/>
      <w:lvlText w:val=""/>
      <w:start w:val="0"/>
      <w:lvlJc w:val="left"/>
      <w:pPr>
        <w:ind w:left="480"/>
        <w:ind w:hanging="480"/>
      </w:pPr>
      <w:rPr>
        <w:rFonts w:ascii="Wingdings"/>
        <w:sz w:val="21"/>
      </w:rPr>
    </w:lvl>
    <w:lvl w:ilvl="1">
      <w:numFmt w:val="bullet"/>
      <w:lvlText w:val=""/>
      <w:start w:val="0"/>
      <w:lvlJc w:val="left"/>
      <w:pPr>
        <w:ind w:left="960"/>
        <w:ind w:hanging="480"/>
      </w:pPr>
      <w:rPr>
        <w:rFonts w:ascii="Wingdings"/>
      </w:rPr>
    </w:lvl>
    <w:lvl w:ilvl="2">
      <w:numFmt w:val="bullet"/>
      <w:lvlText w:val=""/>
      <w:start w:val="0"/>
      <w:lvlJc w:val="left"/>
      <w:pPr>
        <w:ind w:left="1440"/>
        <w:ind w:hanging="480"/>
      </w:pPr>
      <w:rPr>
        <w:rFonts w:ascii="Wingdings"/>
      </w:rPr>
    </w:lvl>
    <w:lvl w:ilvl="3">
      <w:numFmt w:val="bullet"/>
      <w:lvlText w:val=""/>
      <w:start w:val="0"/>
      <w:lvlJc w:val="left"/>
      <w:pPr>
        <w:ind w:left="1920"/>
        <w:ind w:hanging="480"/>
      </w:pPr>
      <w:rPr>
        <w:rFonts w:ascii="Wingdings"/>
      </w:rPr>
    </w:lvl>
    <w:lvl w:ilvl="4">
      <w:numFmt w:val="bullet"/>
      <w:lvlText w:val=""/>
      <w:start w:val="0"/>
      <w:lvlJc w:val="left"/>
      <w:pPr>
        <w:ind w:left="2400"/>
        <w:ind w:hanging="480"/>
      </w:pPr>
      <w:rPr>
        <w:rFonts w:ascii="Wingdings"/>
      </w:rPr>
    </w:lvl>
    <w:lvl w:ilvl="5">
      <w:numFmt w:val="bullet"/>
      <w:lvlText w:val=""/>
      <w:start w:val="0"/>
      <w:lvlJc w:val="left"/>
      <w:pPr>
        <w:ind w:left="2880"/>
        <w:ind w:hanging="480"/>
      </w:pPr>
      <w:rPr>
        <w:rFonts w:ascii="Wingdings"/>
      </w:rPr>
    </w:lvl>
    <w:lvl w:ilvl="6">
      <w:numFmt w:val="bullet"/>
      <w:lvlText w:val=""/>
      <w:start w:val="0"/>
      <w:lvlJc w:val="left"/>
      <w:pPr>
        <w:ind w:left="3360"/>
        <w:ind w:hanging="480"/>
      </w:pPr>
      <w:rPr>
        <w:rFonts w:ascii="Wingdings"/>
      </w:rPr>
    </w:lvl>
    <w:lvl w:ilvl="7">
      <w:numFmt w:val="bullet"/>
      <w:lvlText w:val=""/>
      <w:start w:val="0"/>
      <w:lvlJc w:val="left"/>
      <w:pPr>
        <w:ind w:left="3840"/>
        <w:ind w:hanging="480"/>
      </w:pPr>
      <w:rPr>
        <w:rFonts w:ascii="Wingdings"/>
      </w:rPr>
    </w:lvl>
    <w:lvl w:ilvl="8">
      <w:numFmt w:val="bullet"/>
      <w:lvlText w:val=""/>
      <w:start w:val="0"/>
      <w:lvlJc w:val="left"/>
      <w:pPr>
        <w:ind w:left="4320"/>
        <w:ind w:hanging="480"/>
      </w:pPr>
      <w:rPr>
        <w:rFonts w:ascii="Wingdings"/>
      </w:rPr>
    </w:lvl>
  </w:abstractNum>
  <w:abstractNum w:abstractNumId="10121982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533277047">
    <w:abstractNumId w:val="533277047"/>
  </w:num>
  <w:num w:numId="1987313942">
    <w:abstractNumId w:val="1987313942"/>
  </w:num>
  <w:num w:numId="10121982">
    <w:abstractNumId w:val="1012198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A6F2E"/>
    <w:rsid w:val="0072574C"/>
    <w:rsid w:val="007A2423"/>
    <w:rsid w:val="00A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8E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Heading1">
    <w:name w:val="Heading 1"/>
    <w:qFormat/>
    <w:basedOn w:val="Normal"/>
    <w:rPr>
      <w:b/>
      <w:color w:val="345A8A"/>
      <w:sz w:val="32"/>
    </w:rPr>
    <w:pPr>
      <w:spacing w:before="480"/>
    </w:pPr>
  </w:style>
  <w:style w:type="paragraph" w:styleId="Heading2">
    <w:name w:val="Heading 2"/>
    <w:qFormat/>
    <w:basedOn w:val="Normal"/>
    <w:rPr>
      <w:b/>
      <w:color w:val="4F81BD"/>
      <w:sz w:val="26"/>
    </w:rPr>
    <w:pPr>
      <w:spacing w:before="200"/>
    </w:pPr>
  </w:style>
  <w:style w:type="paragraph" w:styleId="Heading3">
    <w:name w:val="Heading 3"/>
    <w:qFormat/>
    <w:basedOn w:val="Normal"/>
    <w:rPr>
      <w:b/>
      <w:color w:val="4F81BD"/>
      <w:sz w:val="24"/>
    </w:rPr>
    <w:pPr>
      <w:spacing w:before="200"/>
    </w:pPr>
  </w:style>
  <w:style w:type="paragraph" w:default="1" w:styleId="Normal">
    <w:name w:val="Normal"/>
    <w:qFormat/>
  </w:style>
  <w:style w:type="paragraph" w:styleId="Subtitle">
    <w:name w:val="Subtitle"/>
    <w:qFormat/>
    <w:basedOn w:val="Normal"/>
    <w:rPr>
      <w:i/>
      <w:color w:val="4F81BD"/>
      <w:sz w:val="24"/>
    </w:rPr>
  </w:style>
  <w:style w:type="paragraph" w:styleId="Title">
    <w:name w:val="Title"/>
    <w:qFormat/>
    <w:basedOn w:val="Normal"/>
    <w:rPr>
      <w:color w:val="17365D"/>
      <w:sz w:val="52"/>
    </w:rPr>
    <w:pPr>
      <w:spacing w:after="300"/>
    </w:pPr>
  </w:style>
  <w:style w:type="paragraph" w:styleId="docDefaults">
    <w:name w:val="docDefaults"/>
    <w:qFormat/>
    <w:rPr>
      <w:rFonts w:ascii="Calibri"/>
    </w:rPr>
  </w:style>
  <w:style w:type="paragraph" w:styleId="">
    <w:name w:val="內文"/>
    <w:qFormat/>
    <w:rPr>
      <w:sz w:val="24"/>
      <w:szCs w:val="22"/>
    </w:rPr>
    <w:pPr/>
  </w:style>
  <w:style w:type="paragraph" w:styleId="">
    <w:name w:val="清單段落"/>
    <w:qFormat/>
    <w:basedOn w:val=""/>
    <w:pPr>
      <w:ind w:left="200"/>
    </w:pPr>
  </w:style>
  <w:style w:type="numbering" w:styleId="">
    <w:name w:val="無清單"/>
    <w:qFormat/>
  </w:style>
  <w:style w:type="table" w:styleId="">
    <w:name w:val="表格內文"/>
    <w:qFormat/>
    <w:pPr/>
  </w:style>
  <w:style w:type="table" w:styleId="">
    <w:name w:val="表格格線"/>
    <w:qFormat/>
    <w:basedOn w:val=""/>
    <w:pPr/>
    <w:tblPr>
      <w:tblBorders>
        <w:top w:val="single" w:sz="4" w:color="000000" w:space="0"/>
        <w:bottom w:val="single" w:sz="4" w:color="000000" w:space="0"/>
        <w:left w:val="single" w:sz="4" w:color="000000" w:space="0"/>
        <w:right w:val="single" w:sz="4" w:color="000000" w:space="0"/>
        <w:insideH w:val="single" w:sz="4" w:color="000000" w:space="0"/>
        <w:insideV w:val="single" w:sz="4" w:color="000000" w:space="0"/>
      </w:tblBorders>
      <w:tblStyle w:val="表格格線"/>
      <w:tblLook w:firstRow="1" w:lastRow="1" w:firstColumn="1" w:lastColumn="1" w:noHBand="0" w:noVBand="0"/>
    </w:tblPr>
  </w:style>
  <w:style w:type="paragraph" w:styleId="">
    <w:name w:val="註解方塊文字"/>
    <w:qFormat/>
    <w:basedOn w:val=""/>
    <w:rPr>
      <w:rFonts w:ascii="Cambria"/>
      <w:sz w:val="18"/>
      <w:szCs w:val="18"/>
    </w:rPr>
    <w:pPr/>
  </w:style>
  <w:style w:type="character" w:styleId="">
    <w:name w:val="註解方塊文字 字元"/>
    <w:qFormat/>
    <w:rPr>
      <w:rFonts w:ascii="Cambria"/>
      <w:sz w:val="18"/>
      <w:szCs w:val="18"/>
    </w:rPr>
  </w:style>
  <w:style w:type="character" w:styleId="">
    <w:name w:val="超連結"/>
    <w:qFormat/>
    <w:rPr>
      <w:u w:val="single"/>
      <w:color w:val="0000FF"/>
    </w:rPr>
  </w:style>
  <w:style w:type="paragraph" w:styleId="">
    <w:name w:val="頁尾"/>
    <w:qFormat/>
    <w:basedOn w:val=""/>
    <w:rPr>
      <w:sz w:val="20"/>
      <w:szCs w:val="20"/>
    </w:rPr>
    <w:pPr/>
  </w:style>
  <w:style w:type="character" w:styleId="">
    <w:name w:val="頁尾 字元"/>
    <w:qFormat/>
    <w:rPr>
      <w:sz w:val="20"/>
      <w:szCs w:val="20"/>
    </w:rPr>
  </w:style>
  <w:style w:type="paragraph" w:styleId="">
    <w:name w:val="頁首"/>
    <w:qFormat/>
    <w:basedOn w:val=""/>
    <w:rPr>
      <w:sz w:val="20"/>
      <w:szCs w:val="20"/>
    </w:rPr>
    <w:pPr/>
  </w:style>
  <w:style w:type="character" w:styleId="">
    <w:name w:val="頁首 字元"/>
    <w:qFormat/>
    <w:rPr>
      <w:sz w:val="20"/>
      <w:szCs w:val="20"/>
    </w:rPr>
  </w:style>
  <w:style w:type="character" w:styleId="">
    <w:name w:val="預設段落字型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image" Target="media/image1.png"/><Relationship Id="rId8" Type="http://schemas.openxmlformats.org/officeDocument/2006/relationships/image" Target="media/image2.jpg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