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wmf" ContentType="image/x-wmf"/>
  <Default Extension="emf" ContentType="image/x-emf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body>
    <w:p>
      <w:pPr>
        <w:pStyle w:val=""/>
        <w:jc w:val="center"/>
        <w:rPr>
          <w:sz w:val="40"/>
          <w:szCs w:val="40"/>
        </w:rPr>
      </w:pPr>
      <w:r>
        <w:rPr>
          <w:sz w:val="40"/>
          <w:szCs w:val="40"/>
        </w:rPr>
        <w:t>衛生</w:t>
      </w:r>
      <w:r>
        <w:rPr>
          <w:sz w:val="40"/>
          <w:szCs w:val="40"/>
        </w:rPr>
        <w:t>福利部</w:t>
      </w:r>
      <w:r>
        <w:rPr>
          <w:sz w:val="40"/>
          <w:szCs w:val="40"/>
        </w:rPr>
        <w:t>食品藥物管理</w:t>
      </w:r>
      <w:r>
        <w:rPr>
          <w:sz w:val="40"/>
          <w:szCs w:val="40"/>
        </w:rPr>
        <w:t>署</w:t>
      </w:r>
      <w:r>
        <w:rPr>
          <w:sz w:val="40"/>
          <w:szCs w:val="40"/>
        </w:rPr>
        <w:t>10</w:t>
      </w:r>
      <w:r>
        <w:rPr>
          <w:sz w:val="40"/>
          <w:szCs w:val="40"/>
        </w:rPr>
        <w:t>3</w:t>
      </w:r>
      <w:r>
        <w:rPr>
          <w:sz w:val="40"/>
          <w:szCs w:val="40"/>
        </w:rPr>
        <w:t>年</w:t>
      </w:r>
      <w:r>
        <w:rPr>
          <w:sz w:val="40"/>
          <w:szCs w:val="40"/>
        </w:rPr>
        <w:t>7-</w:t>
      </w:r>
      <w:r>
        <w:rPr>
          <w:sz w:val="40"/>
          <w:szCs w:val="40"/>
        </w:rPr>
        <w:t>8</w:t>
      </w:r>
      <w:r>
        <w:rPr>
          <w:sz w:val="40"/>
          <w:szCs w:val="40"/>
        </w:rPr>
        <w:t>月受理大專院校學生實習名額彙總表</w:t>
      </w:r>
    </w:p>
    <w:tbl>
      <w:tblPr>
        <w:tblBorders>
          <w:top w:val="single" w:sz="4" w:color="000000" w:space="0"/>
          <w:bottom w:val="single" w:sz="4" w:color="000000" w:space="0"/>
          <w:left w:val="single" w:sz="4" w:color="000000" w:space="0"/>
          <w:right w:val="single" w:sz="4" w:color="000000" w:space="0"/>
          <w:insideH w:val="single" w:sz="4" w:color="000000" w:space="0"/>
          <w:insideV w:val="single" w:sz="4" w:color="000000" w:space="0"/>
        </w:tblBorders>
        <w:tblStyle w:val="表格內文"/>
        <w:tblLook w:firstRow="1" w:lastRow="1" w:firstColumn="1" w:lastColumn="1" w:noHBand="0" w:noVBand="0"/>
        <w:tblW w:w="14247" w:type="dxa"/>
      </w:tblPr>
      <w:tblGrid>
        <w:gridCol w:w="2235"/>
        <w:gridCol w:w="4928"/>
        <w:gridCol w:w="1876"/>
        <w:gridCol w:w="1843"/>
        <w:gridCol w:w="3365"/>
      </w:tblGrid>
      <w:tr>
        <w:tc>
          <w:tcPr>
            <w:vAlign w:val="center"/>
            <w:tcW w:w="2235" w:type="dxa"/>
          </w:tcPr>
          <w:p>
            <w:pPr>
              <w:pStyle w:val=""/>
              <w:jc w:val="center"/>
              <w:ind w:left="-19"/>
              <w:ind w:hanging="120"/>
              <w:spacing w:line="400" w:lineRule="exact"/>
            </w:pPr>
            <w:r>
              <w:rPr>
                <w:sz w:val="28"/>
                <w:szCs w:val="28"/>
              </w:rPr>
              <w:t>受理實習單位別</w:t>
            </w:r>
          </w:p>
        </w:tc>
        <w:tc>
          <w:tcPr>
            <w:vAlign w:val="center"/>
            <w:tcW w:w="4928" w:type="dxa"/>
          </w:tcPr>
          <w:p>
            <w:pPr>
              <w:pStyle w:val=""/>
              <w:jc w:val="center"/>
              <w:ind w:left="-19"/>
              <w:ind w:hanging="120"/>
              <w:spacing w:line="400" w:lineRule="exact"/>
            </w:pPr>
            <w:r>
              <w:rPr>
                <w:sz w:val="28"/>
                <w:szCs w:val="28"/>
              </w:rPr>
              <w:t>受理實習科別</w:t>
            </w:r>
          </w:p>
        </w:tc>
        <w:tc>
          <w:tcPr>
            <w:vAlign w:val="center"/>
            <w:tcW w:w="1876" w:type="dxa"/>
          </w:tcPr>
          <w:p>
            <w:pPr>
              <w:pStyle w:val=""/>
              <w:jc w:val="center"/>
              <w:spacing w:line="4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月</w:t>
            </w:r>
          </w:p>
          <w:p>
            <w:pPr>
              <w:pStyle w:val=""/>
              <w:jc w:val="center"/>
              <w:spacing w:line="400" w:lineRule="exact"/>
            </w:pPr>
            <w:r>
              <w:rPr>
                <w:sz w:val="28"/>
                <w:szCs w:val="28"/>
              </w:rPr>
              <w:t>受理名額</w:t>
            </w:r>
          </w:p>
        </w:tc>
        <w:tc>
          <w:tcPr>
            <w:vAlign w:val="center"/>
            <w:tcW w:w="1843" w:type="dxa"/>
          </w:tcPr>
          <w:p>
            <w:pPr>
              <w:pStyle w:val=""/>
              <w:jc w:val="center"/>
              <w:spacing w:line="4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月</w:t>
            </w:r>
          </w:p>
          <w:p>
            <w:pPr>
              <w:pStyle w:val=""/>
              <w:jc w:val="center"/>
              <w:spacing w:line="400" w:lineRule="exact"/>
            </w:pPr>
            <w:r>
              <w:rPr>
                <w:sz w:val="28"/>
                <w:szCs w:val="28"/>
              </w:rPr>
              <w:t>受理名額</w:t>
            </w:r>
          </w:p>
        </w:tc>
        <w:tc>
          <w:tcPr>
            <w:vAlign w:val="center"/>
            <w:tcW w:w="3365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8"/>
                <w:szCs w:val="28"/>
              </w:rPr>
              <w:t>特殊要求</w:t>
            </w:r>
          </w:p>
        </w:tc>
      </w:tr>
      <w:tr>
        <w:tc>
          <w:tcPr>
            <w:vAlign w:val="center"/>
            <w:vMerge w:val="restart"/>
            <w:tcW w:w="2235" w:type="dxa"/>
          </w:tcPr>
          <w:p>
            <w:pPr>
              <w:pStyle w:val=""/>
              <w:jc w:val="both"/>
              <w:spacing w:line="400" w:lineRule="exact"/>
            </w:pPr>
            <w:r>
              <w:rPr>
                <w:b/>
                <w:sz w:val="26"/>
                <w:szCs w:val="26"/>
              </w:rPr>
              <w:t>藥品組</w:t>
            </w:r>
          </w:p>
        </w:tc>
        <w:tc>
          <w:tcPr>
            <w:vAlign w:val="center"/>
            <w:tcW w:w="4928" w:type="dxa"/>
          </w:tcPr>
          <w:p>
            <w:pPr>
              <w:pStyle w:val=""/>
              <w:spacing w:line="400" w:lineRule="exact"/>
            </w:pPr>
            <w:r>
              <w:rPr>
                <w:sz w:val="26"/>
                <w:szCs w:val="26"/>
              </w:rPr>
              <w:t xml:space="preserve">第二科 </w:t>
            </w:r>
            <w:r>
              <w:rPr>
                <w:sz w:val="26"/>
                <w:szCs w:val="26"/>
              </w:rPr>
              <w:t>新藥科</w:t>
            </w:r>
          </w:p>
        </w:tc>
        <w:tc>
          <w:tcPr>
            <w:vAlign w:val="top"/>
            <w:tcW w:w="1876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vAlign w:val="top"/>
            <w:tcW w:w="1843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vAlign w:val="top"/>
            <w:tcW w:w="3365" w:type="dxa"/>
          </w:tcPr>
          <w:p>
            <w:pPr>
              <w:pStyle w:val=""/>
              <w:spacing w:line="400" w:lineRule="exact"/>
            </w:pPr>
            <w:r>
              <w:rPr>
                <w:sz w:val="26"/>
                <w:szCs w:val="26"/>
              </w:rPr>
              <w:t>藥學系</w:t>
            </w:r>
          </w:p>
        </w:tc>
      </w:tr>
      <w:tr>
        <w:tc>
          <w:tcPr>
            <w:vMerge/>
          </w:tcPr>
          <w:p/>
        </w:tc>
        <w:tc>
          <w:tcPr>
            <w:vAlign w:val="center"/>
            <w:tcW w:w="4928" w:type="dxa"/>
          </w:tcPr>
          <w:p>
            <w:pPr>
              <w:pStyle w:val=""/>
              <w:spacing w:line="400" w:lineRule="exact"/>
            </w:pPr>
            <w:r>
              <w:rPr>
                <w:sz w:val="26"/>
                <w:szCs w:val="26"/>
              </w:rPr>
              <w:t xml:space="preserve">第六科 </w:t>
            </w:r>
            <w:r>
              <w:rPr>
                <w:sz w:val="26"/>
                <w:szCs w:val="26"/>
              </w:rPr>
              <w:t>西藥藥事及藥師管理科</w:t>
            </w:r>
          </w:p>
        </w:tc>
        <w:tc>
          <w:tcPr>
            <w:vAlign w:val="center"/>
            <w:tcW w:w="1876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vAlign w:val="center"/>
            <w:tcW w:w="1843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vAlign w:val="top"/>
            <w:tcW w:w="3365" w:type="dxa"/>
          </w:tcPr>
          <w:p>
            <w:pPr>
              <w:pStyle w:val=""/>
              <w:spacing w:line="400" w:lineRule="exact"/>
            </w:pPr>
            <w:r>
              <w:rPr>
                <w:sz w:val="26"/>
                <w:szCs w:val="26"/>
              </w:rPr>
              <w:t>藥學、公共衛生相關科系，並善於團隊合作</w:t>
            </w:r>
          </w:p>
        </w:tc>
      </w:tr>
      <w:tr>
        <w:tc>
          <w:tcPr>
            <w:vAlign w:val="center"/>
            <w:vMerge w:val="restart"/>
            <w:tcW w:w="2235" w:type="dxa"/>
          </w:tcPr>
          <w:p>
            <w:pPr>
              <w:pStyle w:val=""/>
              <w:jc w:val="both"/>
              <w:spacing w:line="400" w:lineRule="exact"/>
            </w:pPr>
            <w:r>
              <w:rPr>
                <w:b/>
                <w:sz w:val="26"/>
                <w:szCs w:val="26"/>
              </w:rPr>
              <w:t>研檢組</w:t>
            </w:r>
          </w:p>
        </w:tc>
        <w:tc>
          <w:tcPr>
            <w:vAlign w:val="top"/>
            <w:tcW w:w="4928" w:type="dxa"/>
          </w:tcPr>
          <w:p>
            <w:pPr>
              <w:pStyle w:val=""/>
              <w:spacing w:line="400" w:lineRule="exact"/>
            </w:pPr>
            <w:r>
              <w:rPr>
                <w:sz w:val="26"/>
                <w:szCs w:val="26"/>
              </w:rPr>
              <w:t>第一科 食品化學檢驗科</w:t>
            </w:r>
          </w:p>
        </w:tc>
        <w:tc>
          <w:tcPr>
            <w:vAlign w:val="top"/>
            <w:tcW w:w="1876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vAlign w:val="top"/>
            <w:tcW w:w="1843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vAlign w:val="top"/>
            <w:tcW w:w="3365" w:type="dxa"/>
          </w:tcPr>
          <w:p>
            <w:pPr>
              <w:pStyle w:val=""/>
              <w:spacing w:line="400" w:lineRule="exact"/>
            </w:pPr>
            <w:r>
              <w:rPr>
                <w:sz w:val="26"/>
                <w:szCs w:val="26"/>
              </w:rPr>
              <w:t>食品科學相關學系</w:t>
            </w:r>
          </w:p>
        </w:tc>
      </w:tr>
      <w:tr>
        <w:tc>
          <w:tcPr>
            <w:vMerge/>
          </w:tcPr>
          <w:p/>
        </w:tc>
        <w:tc>
          <w:tcPr>
            <w:vAlign w:val="top"/>
            <w:tcW w:w="4928" w:type="dxa"/>
          </w:tcPr>
          <w:p>
            <w:pPr>
              <w:pStyle w:val=""/>
              <w:spacing w:line="400" w:lineRule="exact"/>
            </w:pPr>
            <w:r>
              <w:rPr>
                <w:sz w:val="26"/>
                <w:szCs w:val="26"/>
              </w:rPr>
              <w:t>第二科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食品生物檢驗</w:t>
            </w:r>
            <w:r>
              <w:rPr>
                <w:sz w:val="26"/>
                <w:szCs w:val="26"/>
              </w:rPr>
              <w:t>科</w:t>
            </w:r>
          </w:p>
        </w:tc>
        <w:tc>
          <w:tcPr>
            <w:vAlign w:val="top"/>
            <w:tcW w:w="1876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vAlign w:val="top"/>
            <w:tcW w:w="1843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vAlign w:val="top"/>
            <w:tcW w:w="3365" w:type="dxa"/>
          </w:tcPr>
          <w:p>
            <w:pPr>
              <w:pStyle w:val=""/>
              <w:spacing w:line="400" w:lineRule="exact"/>
            </w:pPr>
            <w:r>
              <w:rPr>
                <w:sz w:val="26"/>
                <w:szCs w:val="26"/>
              </w:rPr>
              <w:t>食品科學相關學系</w:t>
            </w:r>
          </w:p>
        </w:tc>
      </w:tr>
      <w:tr>
        <w:tc>
          <w:tcPr>
            <w:vMerge/>
          </w:tcPr>
          <w:p/>
        </w:tc>
        <w:tc>
          <w:tcPr>
            <w:vAlign w:val="top"/>
            <w:tcW w:w="4928" w:type="dxa"/>
          </w:tcPr>
          <w:p>
            <w:pPr>
              <w:pStyle w:val=""/>
              <w:spacing w:line="400" w:lineRule="exact"/>
            </w:pPr>
            <w:r>
              <w:rPr>
                <w:sz w:val="26"/>
                <w:szCs w:val="26"/>
              </w:rPr>
              <w:t>第三科 化學藥品及管制藥品檢驗科</w:t>
            </w:r>
          </w:p>
        </w:tc>
        <w:tc>
          <w:tcPr>
            <w:vAlign w:val="top"/>
            <w:tcW w:w="1876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vAlign w:val="top"/>
            <w:tcW w:w="1843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vAlign w:val="top"/>
            <w:tcW w:w="3365" w:type="dxa"/>
          </w:tcPr>
          <w:p>
            <w:pPr>
              <w:pStyle w:val=""/>
              <w:spacing w:line="400" w:lineRule="exact"/>
            </w:pPr>
            <w:r>
              <w:rPr>
                <w:sz w:val="26"/>
                <w:szCs w:val="26"/>
              </w:rPr>
              <w:t>各大專院校藥學系</w:t>
            </w:r>
          </w:p>
        </w:tc>
      </w:tr>
      <w:tr>
        <w:tc>
          <w:tcPr>
            <w:vMerge/>
          </w:tcPr>
          <w:p/>
        </w:tc>
        <w:tc>
          <w:tcPr>
            <w:vAlign w:val="top"/>
            <w:tcW w:w="4928" w:type="dxa"/>
          </w:tcPr>
          <w:p>
            <w:pPr>
              <w:pStyle w:val=""/>
              <w:spacing w:line="400" w:lineRule="exact"/>
            </w:pPr>
            <w:r>
              <w:rPr>
                <w:sz w:val="26"/>
                <w:szCs w:val="26"/>
              </w:rPr>
              <w:t>第四科 醫療器材及化粧品檢驗科</w:t>
            </w:r>
          </w:p>
        </w:tc>
        <w:tc>
          <w:tcPr>
            <w:vAlign w:val="top"/>
            <w:tcW w:w="1876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vAlign w:val="top"/>
            <w:tcW w:w="1843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vAlign w:val="top"/>
            <w:tcW w:w="3365" w:type="dxa"/>
          </w:tcPr>
          <w:p>
            <w:pPr>
              <w:pStyle w:val=""/>
              <w:spacing w:line="400" w:lineRule="exact"/>
            </w:pPr>
          </w:p>
        </w:tc>
      </w:tr>
      <w:tr>
        <w:tc>
          <w:tcPr>
            <w:vMerge/>
          </w:tcPr>
          <w:p/>
        </w:tc>
        <w:tc>
          <w:tcPr>
            <w:vAlign w:val="top"/>
            <w:tcW w:w="4928" w:type="dxa"/>
          </w:tcPr>
          <w:p>
            <w:pPr>
              <w:pStyle w:val=""/>
              <w:spacing w:line="400" w:lineRule="exact"/>
            </w:pPr>
            <w:r>
              <w:rPr>
                <w:sz w:val="26"/>
                <w:szCs w:val="26"/>
              </w:rPr>
              <w:t>第五科 生物藥品與新興生技藥品檢驗科</w:t>
            </w:r>
          </w:p>
        </w:tc>
        <w:tc>
          <w:tcPr>
            <w:vAlign w:val="top"/>
            <w:tcW w:w="1876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vAlign w:val="top"/>
            <w:tcW w:w="1843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vAlign w:val="top"/>
            <w:tcW w:w="3365" w:type="dxa"/>
          </w:tcPr>
          <w:p>
            <w:pPr>
              <w:pStyle w:val=""/>
              <w:spacing w:line="400" w:lineRule="exact"/>
            </w:pPr>
          </w:p>
        </w:tc>
      </w:tr>
      <w:tr>
        <w:tc>
          <w:tcPr>
            <w:vMerge/>
          </w:tcPr>
          <w:p/>
        </w:tc>
        <w:tc>
          <w:tcPr>
            <w:vAlign w:val="top"/>
            <w:tcW w:w="4928" w:type="dxa"/>
          </w:tcPr>
          <w:p>
            <w:pPr>
              <w:pStyle w:val=""/>
              <w:spacing w:line="400" w:lineRule="exact"/>
            </w:pPr>
            <w:r>
              <w:rPr>
                <w:sz w:val="26"/>
                <w:szCs w:val="26"/>
              </w:rPr>
              <w:t>第六科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中藥生藥檢驗科</w:t>
            </w:r>
          </w:p>
        </w:tc>
        <w:tc>
          <w:tcPr>
            <w:vAlign w:val="top"/>
            <w:tcW w:w="1876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vAlign w:val="top"/>
            <w:tcW w:w="1843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vAlign w:val="top"/>
            <w:tcW w:w="3365" w:type="dxa"/>
          </w:tcPr>
          <w:p>
            <w:pPr>
              <w:pStyle w:val=""/>
              <w:spacing w:line="400" w:lineRule="exact"/>
            </w:pPr>
            <w:r>
              <w:rPr>
                <w:sz w:val="26"/>
                <w:szCs w:val="26"/>
              </w:rPr>
              <w:t>各大專院校藥學系</w:t>
            </w:r>
          </w:p>
        </w:tc>
      </w:tr>
      <w:tr>
        <w:tc>
          <w:tcPr>
            <w:vAlign w:val="center"/>
            <w:vMerge w:val="restart"/>
            <w:tcW w:w="2235" w:type="dxa"/>
          </w:tcPr>
          <w:p>
            <w:pPr>
              <w:pStyle w:val=""/>
              <w:spacing w:line="400" w:lineRule="exact"/>
            </w:pPr>
            <w:r>
              <w:rPr>
                <w:b/>
                <w:sz w:val="26"/>
                <w:szCs w:val="26"/>
              </w:rPr>
              <w:t>中區管理中心</w:t>
            </w:r>
          </w:p>
        </w:tc>
        <w:tc>
          <w:tcPr>
            <w:vAlign w:val="top"/>
            <w:tcW w:w="4928" w:type="dxa"/>
          </w:tcPr>
          <w:p>
            <w:pPr>
              <w:pStyle w:val=""/>
              <w:spacing w:line="400" w:lineRule="exact"/>
            </w:pPr>
            <w:r>
              <w:rPr>
                <w:sz w:val="26"/>
                <w:szCs w:val="26"/>
              </w:rPr>
              <w:t>第一科 流通稽查檢驗科</w:t>
            </w:r>
          </w:p>
        </w:tc>
        <w:tc>
          <w:tcPr>
            <w:vAlign w:val="center"/>
            <w:tcW w:w="1876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vAlign w:val="center"/>
            <w:tcW w:w="1843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vAlign w:val="center"/>
            <w:tcW w:w="3365" w:type="dxa"/>
          </w:tcPr>
          <w:p>
            <w:pPr>
              <w:pStyle w:val=""/>
              <w:jc w:val="both"/>
              <w:spacing w:line="400" w:lineRule="exact"/>
            </w:pPr>
            <w:r>
              <w:rPr>
                <w:sz w:val="26"/>
                <w:szCs w:val="26"/>
              </w:rPr>
              <w:t>實習範圍：食品檢驗為主</w:t>
            </w:r>
          </w:p>
        </w:tc>
      </w:tr>
      <w:tr>
        <w:tc>
          <w:tcPr>
            <w:vMerge/>
          </w:tcPr>
          <w:p/>
        </w:tc>
        <w:tc>
          <w:tcPr>
            <w:vAlign w:val="top"/>
            <w:tcW w:w="4928" w:type="dxa"/>
          </w:tcPr>
          <w:p>
            <w:pPr>
              <w:pStyle w:val=""/>
              <w:spacing w:line="400" w:lineRule="exact"/>
            </w:pPr>
            <w:r>
              <w:rPr>
                <w:sz w:val="26"/>
                <w:szCs w:val="26"/>
              </w:rPr>
              <w:t>第二科 輸入查驗管理科</w:t>
            </w:r>
          </w:p>
        </w:tc>
        <w:tc>
          <w:tcPr>
            <w:vAlign w:val="center"/>
            <w:tcW w:w="1876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vAlign w:val="center"/>
            <w:tcW w:w="1843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vAlign w:val="center"/>
            <w:tcW w:w="3365" w:type="dxa"/>
          </w:tcPr>
          <w:p>
            <w:pPr>
              <w:pStyle w:val=""/>
              <w:jc w:val="both"/>
              <w:spacing w:line="400" w:lineRule="exact"/>
            </w:pPr>
            <w:r>
              <w:rPr>
                <w:sz w:val="26"/>
                <w:szCs w:val="26"/>
              </w:rPr>
              <w:t>輸入食品查驗</w:t>
            </w:r>
          </w:p>
        </w:tc>
      </w:tr>
      <w:tr>
        <w:tc>
          <w:tcPr>
            <w:vAlign w:val="center"/>
            <w:tcW w:w="2235" w:type="dxa"/>
          </w:tcPr>
          <w:p>
            <w:pPr>
              <w:pStyle w:val=""/>
              <w:jc w:val="both"/>
              <w:spacing w:line="400" w:lineRule="exact"/>
            </w:pPr>
            <w:r>
              <w:rPr>
                <w:b/>
                <w:sz w:val="26"/>
                <w:szCs w:val="26"/>
              </w:rPr>
              <w:t>南區管理中心</w:t>
            </w:r>
          </w:p>
        </w:tc>
        <w:tc>
          <w:tcPr>
            <w:vAlign w:val="top"/>
            <w:tcW w:w="4928" w:type="dxa"/>
          </w:tcPr>
          <w:p>
            <w:pPr>
              <w:pStyle w:val=""/>
              <w:spacing w:line="400" w:lineRule="exact"/>
            </w:pPr>
            <w:r>
              <w:rPr>
                <w:sz w:val="26"/>
                <w:szCs w:val="26"/>
              </w:rPr>
              <w:t>第一科 流通稽查檢驗科</w:t>
            </w:r>
          </w:p>
        </w:tc>
        <w:tc>
          <w:tcPr>
            <w:vAlign w:val="center"/>
            <w:tcW w:w="1876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vAlign w:val="center"/>
            <w:tcW w:w="1843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vAlign w:val="center"/>
            <w:tcW w:w="3365" w:type="dxa"/>
          </w:tcPr>
          <w:p>
            <w:pPr>
              <w:pStyle w:val=""/>
              <w:jc w:val="both"/>
              <w:spacing w:line="400" w:lineRule="exact"/>
            </w:pPr>
            <w:r>
              <w:rPr>
                <w:sz w:val="26"/>
                <w:szCs w:val="26"/>
              </w:rPr>
              <w:t>食品科技</w:t>
            </w:r>
            <w:r>
              <w:rPr>
                <w:sz w:val="26"/>
                <w:szCs w:val="26"/>
              </w:rPr>
              <w:t>相關科系</w:t>
            </w:r>
          </w:p>
        </w:tc>
      </w:tr>
      <w:tr>
        <w:trPr>
          <w:trHeight w:val="491" w:hRule="atLeast"/>
        </w:trPr>
        <w:tc>
          <w:tcPr>
            <w:vAlign w:val="center"/>
            <w:tcW w:w="2235" w:type="dxa"/>
          </w:tcPr>
          <w:p>
            <w:pPr>
              <w:pStyle w:val=""/>
              <w:jc w:val="both"/>
              <w:spacing w:line="400" w:lineRule="exact"/>
            </w:pPr>
            <w:r>
              <w:rPr>
                <w:b/>
                <w:sz w:val="26"/>
                <w:szCs w:val="26"/>
              </w:rPr>
              <w:t>製藥工廠</w:t>
            </w:r>
          </w:p>
        </w:tc>
        <w:tc>
          <w:tcPr>
            <w:vAlign w:val="center"/>
            <w:tcW w:w="4928" w:type="dxa"/>
          </w:tcPr>
          <w:p>
            <w:pPr>
              <w:pStyle w:val=""/>
              <w:jc w:val="both"/>
              <w:spacing w:line="400" w:lineRule="exact"/>
            </w:pPr>
          </w:p>
        </w:tc>
        <w:tc>
          <w:tcPr>
            <w:vAlign w:val="center"/>
            <w:tcW w:w="1876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vAlign w:val="center"/>
            <w:tcW w:w="1843" w:type="dxa"/>
          </w:tcPr>
          <w:p>
            <w:pPr>
              <w:pStyle w:val=""/>
              <w:jc w:val="center"/>
              <w:spacing w:line="400" w:lineRule="exact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vAlign w:val="center"/>
            <w:tcW w:w="3365" w:type="dxa"/>
          </w:tcPr>
          <w:p>
            <w:pPr>
              <w:pStyle w:val=""/>
              <w:jc w:val="both"/>
              <w:spacing w:line="400" w:lineRule="exact"/>
            </w:pPr>
            <w:r>
              <w:rPr>
                <w:sz w:val="26"/>
                <w:szCs w:val="26"/>
              </w:rPr>
              <w:t>以藥學系學生為優先</w:t>
            </w:r>
          </w:p>
        </w:tc>
      </w:tr>
      <w:tr>
        <w:tc>
          <w:tcPr>
            <w:gridSpan w:val="2"/>
            <w:vAlign w:val="top"/>
            <w:tcW w:w="7163" w:type="dxa"/>
          </w:tcPr>
          <w:p>
            <w:pPr>
              <w:pStyle w:val=""/>
              <w:jc w:val="center"/>
              <w:spacing w:line="480" w:lineRule="exact"/>
            </w:pPr>
            <w:r>
              <w:rPr>
                <w:sz w:val="26"/>
                <w:szCs w:val="26"/>
              </w:rPr>
              <w:t>合計</w:t>
            </w:r>
          </w:p>
        </w:tc>
        <w:tc>
          <w:tcPr>
            <w:vAlign w:val="top"/>
            <w:tcW w:w="1876" w:type="dxa"/>
          </w:tcPr>
          <w:p>
            <w:pPr>
              <w:pStyle w:val=""/>
              <w:jc w:val="center"/>
              <w:spacing w:line="480" w:lineRule="exact"/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vAlign w:val="top"/>
            <w:tcW w:w="1843" w:type="dxa"/>
          </w:tcPr>
          <w:p>
            <w:pPr>
              <w:pStyle w:val=""/>
              <w:jc w:val="center"/>
              <w:spacing w:line="480" w:lineRule="exact"/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vAlign w:val="top"/>
            <w:tcW w:w="3365" w:type="dxa"/>
          </w:tcPr>
          <w:p>
            <w:pPr>
              <w:pStyle w:val=""/>
              <w:spacing w:line="480" w:lineRule="exact"/>
            </w:pPr>
          </w:p>
        </w:tc>
      </w:tr>
    </w:tbl>
    <w:p>
      <w:pPr>
        <w:pStyle w:val=""/>
      </w:pPr>
    </w:p>
    <w:sectPr>
      <w:pgSz w:w="16838" w:h="11906" w:orient="landscape"/>
      <w:pgMar w:left="1418" w:right="1134" w:top="1134" w:bottom="851"/>
    </w:sectPr>
  </w:body>
</w:document>
</file>

<file path=word/fontTable.xml><?xml version="1.0" encoding="utf-8"?>
<w:fo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font w:name="Times New Roman"/>
  <w:font w:name="Symbol"/>
  <w:font w:name="Arial"/>
  <w:font w:name="標楷體"/>
  <w:font w:name="新細明體"/>
  <w:font w:name="Cambria Math"/>
  <w:font w:name="Calibri"/>
  <w:font w:name="Cambria"/>
  <w:font w:name="Courier New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lvlJc w:val="left"/>
      <w:pPr>
        <w:ind w:left="720"/>
        <w:ind w:hanging="360"/>
      </w:pPr>
      <w:rPr>
        <w:rFonts w:ascii="Symbol"/>
      </w:rPr>
    </w:lvl>
    <w:lvl w:ilvl="1">
      <w:numFmt w:val="bullet"/>
      <w:lvlText w:val="o"/>
      <w:start w:val="0"/>
      <w:lvlJc w:val="left"/>
      <w:pPr>
        <w:ind w:left="1440"/>
        <w:ind w:hanging="1080"/>
      </w:pPr>
      <w:rPr>
        <w:rFonts w:ascii="Courier New"/>
      </w:rPr>
    </w:lvl>
    <w:lvl w:ilvl="2">
      <w:numFmt w:val="bullet"/>
      <w:lvlText w:val=""/>
      <w:start w:val="0"/>
      <w:lvlJc w:val="left"/>
      <w:pPr>
        <w:ind w:left="2160"/>
        <w:ind w:hanging="1800"/>
      </w:pPr>
      <w:rPr/>
    </w:lvl>
    <w:lvl w:ilvl="3">
      <w:numFmt w:val="bullet"/>
      <w:lvlText w:val=""/>
      <w:start w:val="0"/>
      <w:lvlJc w:val="left"/>
      <w:pPr>
        <w:ind w:left="2880"/>
        <w:ind w:hanging="2520"/>
      </w:pPr>
      <w:rPr>
        <w:rFonts w:ascii="Symbol"/>
      </w:rPr>
    </w:lvl>
    <w:lvl w:ilvl="4">
      <w:numFmt w:val="bullet"/>
      <w:lvlText w:val="o"/>
      <w:start w:val="0"/>
      <w:lvlJc w:val="left"/>
      <w:pPr>
        <w:ind w:left="3600"/>
        <w:ind w:hanging="3240"/>
      </w:pPr>
      <w:rPr>
        <w:rFonts w:ascii="Courier New"/>
      </w:rPr>
    </w:lvl>
    <w:lvl w:ilvl="5">
      <w:numFmt w:val="bullet"/>
      <w:lvlText w:val=""/>
      <w:start w:val="0"/>
      <w:lvlJc w:val="left"/>
      <w:pPr>
        <w:ind w:left="4320"/>
        <w:ind w:hanging="3960"/>
      </w:pPr>
      <w:rPr/>
    </w:lvl>
    <w:lvl w:ilvl="6">
      <w:numFmt w:val="bullet"/>
      <w:lvlText w:val=""/>
      <w:start w:val="0"/>
      <w:lvlJc w:val="left"/>
      <w:pPr>
        <w:ind w:left="5040"/>
        <w:ind w:hanging="4680"/>
      </w:pPr>
      <w:rPr>
        <w:rFonts w:ascii="Symbol"/>
      </w:rPr>
    </w:lvl>
    <w:lvl w:ilvl="7">
      <w:numFmt w:val="bullet"/>
      <w:lvlText w:val="o"/>
      <w:start w:val="0"/>
      <w:lvlJc w:val="left"/>
      <w:pPr>
        <w:ind w:left="5760"/>
        <w:ind w:hanging="5400"/>
      </w:pPr>
      <w:rPr>
        <w:rFonts w:ascii="Courier New"/>
      </w:rPr>
    </w:lvl>
    <w:lvl w:ilvl="8">
      <w:numFmt w:val="bullet"/>
      <w:lvlText w:val=""/>
      <w:start w:val="0"/>
      <w:lvlJc w:val="left"/>
      <w:pPr>
        <w:ind w:left="6480"/>
        <w:ind w:hanging="6120"/>
      </w:pPr>
      <w:rPr/>
    </w:lvl>
  </w:abstractNum>
  <w:abstractNum w:abstractNumId="10121983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A6F2E"/>
    <w:rsid w:val="0072574C"/>
    <w:rsid w:val="007A2423"/>
    <w:rsid w:val="00A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8E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Heading1">
    <w:name w:val="Heading 1"/>
    <w:qFormat/>
    <w:basedOn w:val="Normal"/>
    <w:rPr>
      <w:b/>
      <w:color w:val="345A8A"/>
      <w:sz w:val="32"/>
    </w:rPr>
    <w:pPr>
      <w:spacing w:before="480"/>
    </w:pPr>
  </w:style>
  <w:style w:type="paragraph" w:styleId="Heading2">
    <w:name w:val="Heading 2"/>
    <w:qFormat/>
    <w:basedOn w:val="Normal"/>
    <w:rPr>
      <w:b/>
      <w:color w:val="4F81BD"/>
      <w:sz w:val="26"/>
    </w:rPr>
    <w:pPr>
      <w:spacing w:before="200"/>
    </w:pPr>
  </w:style>
  <w:style w:type="paragraph" w:styleId="Heading3">
    <w:name w:val="Heading 3"/>
    <w:qFormat/>
    <w:basedOn w:val="Normal"/>
    <w:rPr>
      <w:b/>
      <w:color w:val="4F81BD"/>
      <w:sz w:val="24"/>
    </w:rPr>
    <w:pPr>
      <w:spacing w:before="200"/>
    </w:pPr>
  </w:style>
  <w:style w:type="paragraph" w:default="1" w:styleId="Normal">
    <w:name w:val="Normal"/>
    <w:qFormat/>
  </w:style>
  <w:style w:type="paragraph" w:styleId="Subtitle">
    <w:name w:val="Subtitle"/>
    <w:qFormat/>
    <w:basedOn w:val="Normal"/>
    <w:rPr>
      <w:i/>
      <w:color w:val="4F81BD"/>
      <w:sz w:val="24"/>
    </w:rPr>
  </w:style>
  <w:style w:type="paragraph" w:styleId="Title">
    <w:name w:val="Title"/>
    <w:qFormat/>
    <w:basedOn w:val="Normal"/>
    <w:rPr>
      <w:color w:val="17365D"/>
      <w:sz w:val="52"/>
    </w:rPr>
    <w:pPr>
      <w:spacing w:after="300"/>
    </w:pPr>
  </w:style>
  <w:style w:type="paragraph" w:styleId="docDefaults">
    <w:name w:val="docDefaults"/>
    <w:qFormat/>
    <w:rPr>
      <w:rFonts w:ascii="Times New Roman"/>
    </w:rPr>
  </w:style>
  <w:style w:type="paragraph" w:styleId="">
    <w:name w:val="內文"/>
    <w:qFormat/>
    <w:rPr>
      <w:sz w:val="24"/>
      <w:szCs w:val="24"/>
    </w:rPr>
    <w:pPr/>
  </w:style>
  <w:style w:type="numbering" w:styleId="">
    <w:name w:val="無清單"/>
    <w:qFormat/>
  </w:style>
  <w:style w:type="table" w:styleId="">
    <w:name w:val="表格內文"/>
    <w:qFormat/>
    <w:pPr/>
  </w:style>
  <w:style w:type="table" w:styleId="">
    <w:name w:val="表格格線"/>
    <w:qFormat/>
    <w:basedOn w:val=""/>
    <w:pPr/>
    <w:tblPr>
      <w:tblBorders>
        <w:top w:val="single" w:sz="4" w:color="000000" w:space="0"/>
        <w:bottom w:val="single" w:sz="4" w:color="000000" w:space="0"/>
        <w:left w:val="single" w:sz="4" w:color="000000" w:space="0"/>
        <w:right w:val="single" w:sz="4" w:color="000000" w:space="0"/>
        <w:insideH w:val="single" w:sz="4" w:color="000000" w:space="0"/>
        <w:insideV w:val="single" w:sz="4" w:color="000000" w:space="0"/>
      </w:tblBorders>
      <w:tblStyle w:val="表格格線"/>
      <w:tblLook w:firstRow="1" w:lastRow="1" w:firstColumn="1" w:lastColumn="1" w:noHBand="0" w:noVBand="0"/>
    </w:tblPr>
  </w:style>
  <w:style w:type="paragraph" w:styleId="">
    <w:name w:val="頁尾"/>
    <w:qFormat/>
    <w:basedOn w:val=""/>
    <w:rPr>
      <w:sz w:val="20"/>
      <w:szCs w:val="20"/>
    </w:rPr>
    <w:pPr/>
  </w:style>
  <w:style w:type="character" w:styleId="">
    <w:name w:val="頁尾 字元"/>
    <w:qFormat/>
    <w:rPr/>
  </w:style>
  <w:style w:type="paragraph" w:styleId="">
    <w:name w:val="頁首"/>
    <w:qFormat/>
    <w:basedOn w:val=""/>
    <w:rPr>
      <w:sz w:val="20"/>
      <w:szCs w:val="20"/>
    </w:rPr>
    <w:pPr/>
  </w:style>
  <w:style w:type="character" w:styleId="">
    <w:name w:val="頁首 字元"/>
    <w:qFormat/>
    <w:rPr/>
  </w:style>
  <w:style w:type="character" w:styleId="">
    <w:name w:val="預設段落字型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7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2007-04-30T19:01:00Z</dcterms:created>
  <dcterms:modified xsi:type="dcterms:W3CDTF">2011-09-26T12:08:00Z</dcterms:modified>
</cp:coreProperties>
</file>